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7farbig"/>
        <w:tblW w:w="0" w:type="auto"/>
        <w:tblLook w:val="04A0" w:firstRow="1" w:lastRow="0" w:firstColumn="1" w:lastColumn="0" w:noHBand="0" w:noVBand="1"/>
      </w:tblPr>
      <w:tblGrid>
        <w:gridCol w:w="2872"/>
        <w:gridCol w:w="6200"/>
      </w:tblGrid>
      <w:tr w:rsidR="00BA5806" w:rsidRPr="00722B16" w:rsidTr="00B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:rsidR="00BA5806" w:rsidRPr="00BA5806" w:rsidRDefault="00BA5806" w:rsidP="00BA5806">
            <w:pPr>
              <w:spacing w:after="0"/>
              <w:jc w:val="both"/>
              <w:rPr>
                <w:rFonts w:ascii="Lucida Sans Unicode" w:hAnsi="Lucida Sans Unicode" w:cs="Lucida Sans Unicode"/>
                <w:b/>
                <w:i w:val="0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Modulbezeichnung</w:t>
            </w:r>
          </w:p>
        </w:tc>
        <w:tc>
          <w:tcPr>
            <w:tcW w:w="6200" w:type="dxa"/>
            <w:tcBorders>
              <w:left w:val="single" w:sz="4" w:space="0" w:color="auto"/>
              <w:bottom w:val="single" w:sz="4" w:space="0" w:color="auto"/>
            </w:tcBorders>
          </w:tcPr>
          <w:p w:rsidR="00BA5806" w:rsidRPr="00427189" w:rsidRDefault="007F4BE5" w:rsidP="00427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Introduction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to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the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approval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process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of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medical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devices</w:t>
            </w:r>
            <w:proofErr w:type="spellEnd"/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35702D">
            <w:pPr>
              <w:spacing w:after="0"/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Englische</w:t>
            </w:r>
            <w:r w:rsidR="0035702D">
              <w:rPr>
                <w:rFonts w:ascii="Lucida Sans Unicode" w:hAnsi="Lucida Sans Unicode" w:cs="Lucida Sans Unicode"/>
                <w:sz w:val="18"/>
                <w:szCs w:val="20"/>
              </w:rPr>
              <w:t>r Titel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722B16" w:rsidRDefault="007F4BE5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Introduction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to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approval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process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of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medical</w:t>
            </w:r>
            <w:proofErr w:type="spellEnd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devices</w:t>
            </w:r>
            <w:proofErr w:type="spellEnd"/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Modulniveau nach DQR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BA5806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Modulnummer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BA5806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Untertitel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BA5806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Lehrveranstaltungen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empfohlenes </w:t>
            </w: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Studiensemester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BA5806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Häufigkeit des Angebots/ Angebotsturnus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355FC2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Every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winter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semester</w:t>
            </w:r>
            <w:proofErr w:type="spellEnd"/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Modulverantwortliche:r</w:t>
            </w:r>
            <w:proofErr w:type="spellEnd"/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427189" w:rsidP="004271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Prof. Dr.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rer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biol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 hum Heike Walles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Dozent:in</w:t>
            </w:r>
            <w:proofErr w:type="spellEnd"/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BA5806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Sprache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8C6A92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englisch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Zuordnung zum Studiengang/  Curriculum / Verwendbarkeit des Moduls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427189" w:rsidRDefault="00355FC2" w:rsidP="004271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Master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program</w:t>
            </w:r>
            <w:proofErr w:type="spellEnd"/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Lehrform</w:t>
            </w:r>
            <w:proofErr w:type="spellEnd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 und SWS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Default="00355FC2" w:rsidP="0042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Lecture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Tutorial OR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Lecture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LMSans10-Regular" w:hAnsi="LMSans10-Regular" w:cs="LMSans10-Regular"/>
                <w:sz w:val="20"/>
                <w:szCs w:val="20"/>
              </w:rPr>
              <w:t>Seminar ??</w:t>
            </w:r>
            <w:proofErr w:type="gramEnd"/>
          </w:p>
          <w:p w:rsidR="00355FC2" w:rsidRDefault="00355FC2" w:rsidP="00355FC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attendance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: 2 SWS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Lecture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, 1 SWS Tutorial (??)</w:t>
            </w:r>
          </w:p>
          <w:p w:rsidR="00355FC2" w:rsidRPr="00F341A4" w:rsidRDefault="00355FC2" w:rsidP="0035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Autonomous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: follow-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up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lecture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exercises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elaboration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term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paper</w:t>
            </w:r>
            <w:proofErr w:type="spellEnd"/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Arbeitsaufwand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BA5806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Dauer des Moduls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355FC2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One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semester</w:t>
            </w:r>
            <w:bookmarkStart w:id="0" w:name="_GoBack"/>
            <w:bookmarkEnd w:id="0"/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Credit</w:t>
            </w:r>
            <w:proofErr w:type="spellEnd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 Points (CP)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355FC2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5 CP = 150 h (45 h time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attendance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+ 105 h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autonomous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)</w:t>
            </w:r>
          </w:p>
        </w:tc>
      </w:tr>
      <w:tr w:rsidR="008C6A92" w:rsidRPr="00722B16" w:rsidTr="00BA580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Voraussetzung für die Vergabe von CP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B80244" w:rsidRDefault="008C6A9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Teilnahmevoraussetzungen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F341A4" w:rsidRDefault="00355FC2" w:rsidP="00355FC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Attending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module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Basics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Medical Device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Approval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MT Bachelor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>(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OvGU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advantage</w:t>
            </w:r>
            <w:proofErr w:type="spellEnd"/>
          </w:p>
        </w:tc>
      </w:tr>
      <w:tr w:rsidR="008C6A92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Empfehlungen für die Teilnahme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355FC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none</w:t>
            </w:r>
            <w:proofErr w:type="spellEnd"/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lastRenderedPageBreak/>
              <w:t>Modulziele / angestrebte Lernergebnisse / Learning Outcomes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E32D33" w:rsidRDefault="007F4BE5" w:rsidP="007F4BE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contrast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pharmaceuticals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no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worldwide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uniform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legally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requirements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available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approval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CE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certification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medical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devices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Every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manufacturer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responsible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set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up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process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documentation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his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medical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devices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get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approved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according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defines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OECD Guidelines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ISO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norms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regulatory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affair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offers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unexpectedly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exciting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diverse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range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tasks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students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,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especially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small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medium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-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sized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companies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As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part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elective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module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want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arouse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students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interest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these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regulatory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affairs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topics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modules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including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active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participation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representatives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medical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device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industry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want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teach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essential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basics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activity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regulatory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environment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. In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first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semester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will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address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process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whole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well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regulatory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structural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requirements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.</w:t>
            </w:r>
          </w:p>
        </w:tc>
      </w:tr>
      <w:tr w:rsidR="008C6A92" w:rsidRPr="00722B16" w:rsidTr="00BA5806">
        <w:trPr>
          <w:trHeight w:val="4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Inhalt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7F4BE5" w:rsidRDefault="007F4BE5" w:rsidP="007F4BE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content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based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specifications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European CE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approval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relevant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DIN ISO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specification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includes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following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topics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>:</w:t>
            </w:r>
          </w:p>
          <w:p w:rsidR="007F4BE5" w:rsidRPr="007F4BE5" w:rsidRDefault="007F4BE5" w:rsidP="007F4BE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Introduction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process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market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approval</w:t>
            </w:r>
            <w:proofErr w:type="spellEnd"/>
          </w:p>
          <w:p w:rsidR="007F4BE5" w:rsidRPr="007F4BE5" w:rsidRDefault="007F4BE5" w:rsidP="007F4BE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GxPractice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 w:rsidRPr="007F4BE5">
              <w:rPr>
                <w:rFonts w:ascii="LMSans10-Regular" w:hAnsi="LMSans10-Regular" w:cs="LMSans10-Regular"/>
                <w:sz w:val="20"/>
                <w:szCs w:val="20"/>
              </w:rPr>
              <w:t xml:space="preserve"> alternative</w:t>
            </w:r>
          </w:p>
          <w:p w:rsidR="008C6A92" w:rsidRPr="00BA5806" w:rsidRDefault="007F4BE5" w:rsidP="007F4BE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will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build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groups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two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students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perform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 Term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Content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selected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examples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illuminate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approval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procedures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different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medical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device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classes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address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particular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regulatory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issues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These Term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presented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discussed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short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lecture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to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students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homework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50%</w:t>
            </w: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examination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performance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. In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addition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an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exam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written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course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which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also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accounts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for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50%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total grade.</w:t>
            </w:r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Studien- / Prüfungsleistungen / Prüfungsformen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Default="00355FC2" w:rsidP="008C6A9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paper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its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presentation</w:t>
            </w:r>
            <w:proofErr w:type="spellEnd"/>
          </w:p>
          <w:p w:rsidR="00355FC2" w:rsidRPr="00355FC2" w:rsidRDefault="00355FC2" w:rsidP="008C6A9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Written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examination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?? min (Term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paper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and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exam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each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50%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final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grade)</w:t>
            </w:r>
          </w:p>
        </w:tc>
      </w:tr>
      <w:tr w:rsidR="008C6A92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Literatur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355FC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Will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be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made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available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digitally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beginning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of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the</w:t>
            </w:r>
            <w:proofErr w:type="spellEnd"/>
            <w:r>
              <w:rPr>
                <w:rFonts w:ascii="LMSans10-Regular" w:hAnsi="LMSans10-Regular" w:cs="LMSans10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MSans10-Regular" w:hAnsi="LMSans10-Regular" w:cs="LMSans10-Regular"/>
                <w:sz w:val="20"/>
                <w:szCs w:val="20"/>
              </w:rPr>
              <w:t>course</w:t>
            </w:r>
            <w:proofErr w:type="spellEnd"/>
          </w:p>
        </w:tc>
      </w:tr>
      <w:tr w:rsidR="008C6A92" w:rsidRPr="00722B16" w:rsidTr="001C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Sonstige Informationen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F341A4" w:rsidRDefault="008C6A92" w:rsidP="008C6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8C6A92" w:rsidRPr="00722B16" w:rsidTr="001C76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Freigabe 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>/ Version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8C6A9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</w:tbl>
    <w:p w:rsidR="00661E00" w:rsidRDefault="00661E00"/>
    <w:sectPr w:rsidR="00661E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06" w:rsidRDefault="00BA5806" w:rsidP="00BA5806">
      <w:pPr>
        <w:spacing w:after="0" w:line="240" w:lineRule="auto"/>
      </w:pPr>
      <w:r>
        <w:separator/>
      </w:r>
    </w:p>
  </w:endnote>
  <w:endnote w:type="continuationSeparator" w:id="0">
    <w:p w:rsidR="00BA5806" w:rsidRDefault="00BA5806" w:rsidP="00B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06" w:rsidRDefault="00BA5806" w:rsidP="00BA5806">
      <w:pPr>
        <w:spacing w:after="0" w:line="240" w:lineRule="auto"/>
      </w:pPr>
      <w:r>
        <w:separator/>
      </w:r>
    </w:p>
  </w:footnote>
  <w:footnote w:type="continuationSeparator" w:id="0">
    <w:p w:rsidR="00BA5806" w:rsidRDefault="00BA5806" w:rsidP="00B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06" w:rsidRDefault="00BA5806">
    <w:pPr>
      <w:pStyle w:val="Kopfzeile"/>
    </w:pPr>
    <w:r w:rsidRPr="002532C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1FAD6F" wp14:editId="284D5504">
          <wp:simplePos x="0" y="0"/>
          <wp:positionH relativeFrom="column">
            <wp:posOffset>-4445</wp:posOffset>
          </wp:positionH>
          <wp:positionV relativeFrom="paragraph">
            <wp:posOffset>-220980</wp:posOffset>
          </wp:positionV>
          <wp:extent cx="1797050" cy="622300"/>
          <wp:effectExtent l="0" t="0" r="0" b="6350"/>
          <wp:wrapTopAndBottom/>
          <wp:docPr id="5" name="Grafik 5" descr="\\sthome.ovgu.de\annifisc\Pictures\OvG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home.ovgu.de\annifisc\Pictures\OvG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DBF"/>
    <w:multiLevelType w:val="multilevel"/>
    <w:tmpl w:val="5640305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0A294A"/>
    <w:multiLevelType w:val="multilevel"/>
    <w:tmpl w:val="68E21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91562E"/>
    <w:multiLevelType w:val="multilevel"/>
    <w:tmpl w:val="F3E2C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76DBD"/>
    <w:multiLevelType w:val="hybridMultilevel"/>
    <w:tmpl w:val="127C6EAC"/>
    <w:lvl w:ilvl="0" w:tplc="D2E4EE68">
      <w:numFmt w:val="bullet"/>
      <w:lvlText w:val="►"/>
      <w:lvlJc w:val="left"/>
      <w:pPr>
        <w:ind w:left="36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EE68">
      <w:numFmt w:val="bullet"/>
      <w:lvlText w:val="►"/>
      <w:lvlJc w:val="left"/>
      <w:pPr>
        <w:ind w:left="180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B7737"/>
    <w:multiLevelType w:val="multilevel"/>
    <w:tmpl w:val="9B1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214DAF"/>
    <w:multiLevelType w:val="hybridMultilevel"/>
    <w:tmpl w:val="E4D8D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0F52"/>
    <w:multiLevelType w:val="hybridMultilevel"/>
    <w:tmpl w:val="EACA0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2D4"/>
    <w:multiLevelType w:val="hybridMultilevel"/>
    <w:tmpl w:val="366672CA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4EE68">
      <w:numFmt w:val="bullet"/>
      <w:lvlText w:val="►"/>
      <w:lvlJc w:val="left"/>
      <w:pPr>
        <w:ind w:left="216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09D2"/>
    <w:multiLevelType w:val="hybridMultilevel"/>
    <w:tmpl w:val="DDDE1F4E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469E"/>
    <w:multiLevelType w:val="hybridMultilevel"/>
    <w:tmpl w:val="D56889FA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040D"/>
    <w:multiLevelType w:val="multilevel"/>
    <w:tmpl w:val="DACC4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A130A6D"/>
    <w:multiLevelType w:val="hybridMultilevel"/>
    <w:tmpl w:val="9F60A534"/>
    <w:lvl w:ilvl="0" w:tplc="2C28805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06"/>
    <w:rsid w:val="001C7683"/>
    <w:rsid w:val="00355FC2"/>
    <w:rsid w:val="0035702D"/>
    <w:rsid w:val="0040435B"/>
    <w:rsid w:val="00427189"/>
    <w:rsid w:val="004E0738"/>
    <w:rsid w:val="00661E00"/>
    <w:rsid w:val="00746BE5"/>
    <w:rsid w:val="007F4BE5"/>
    <w:rsid w:val="008C6A92"/>
    <w:rsid w:val="009D4B15"/>
    <w:rsid w:val="00BA5806"/>
    <w:rsid w:val="00BF01E1"/>
    <w:rsid w:val="00CB4190"/>
    <w:rsid w:val="00DD1D8F"/>
    <w:rsid w:val="00E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185"/>
  <w15:chartTrackingRefBased/>
  <w15:docId w15:val="{41CCE0AE-DE54-4EB3-974C-B38F30F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806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D1D8F"/>
    <w:pPr>
      <w:keepNext/>
      <w:keepLines/>
      <w:numPr>
        <w:numId w:val="4"/>
      </w:numPr>
      <w:spacing w:before="240" w:after="0" w:line="256" w:lineRule="auto"/>
      <w:ind w:left="432" w:hanging="432"/>
      <w:outlineLvl w:val="0"/>
    </w:pPr>
    <w:rPr>
      <w:rFonts w:asciiTheme="majorHAnsi" w:eastAsiaTheme="majorEastAsia" w:hAnsiTheme="majorHAnsi" w:cstheme="majorBidi"/>
      <w:color w:val="7A003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1D8F"/>
    <w:rPr>
      <w:rFonts w:asciiTheme="majorHAnsi" w:eastAsiaTheme="majorEastAsia" w:hAnsiTheme="majorHAnsi" w:cstheme="majorBidi"/>
      <w:color w:val="7A003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A5806"/>
    <w:pPr>
      <w:ind w:left="720"/>
      <w:contextualSpacing/>
    </w:pPr>
  </w:style>
  <w:style w:type="table" w:styleId="Listentabelle7farbig">
    <w:name w:val="List Table 7 Colorful"/>
    <w:basedOn w:val="NormaleTabelle"/>
    <w:uiPriority w:val="52"/>
    <w:rsid w:val="00BA58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06"/>
  </w:style>
  <w:style w:type="paragraph" w:styleId="Fuzeile">
    <w:name w:val="footer"/>
    <w:basedOn w:val="Standard"/>
    <w:link w:val="FuzeileZchn"/>
    <w:uiPriority w:val="99"/>
    <w:unhideWhenUsed/>
    <w:rsid w:val="00B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06"/>
  </w:style>
  <w:style w:type="character" w:customStyle="1" w:styleId="jlqj4b">
    <w:name w:val="jlqj4b"/>
    <w:basedOn w:val="Absatz-Standardschriftart"/>
    <w:rsid w:val="00427189"/>
  </w:style>
  <w:style w:type="character" w:customStyle="1" w:styleId="viiyi">
    <w:name w:val="viiyi"/>
    <w:basedOn w:val="Absatz-Standardschriftart"/>
    <w:rsid w:val="0042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Otto-von-Guericke-Universität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Holzäpfel, Anni</dc:creator>
  <cp:keywords/>
  <dc:description/>
  <cp:lastModifiedBy>Krieg, Doreen</cp:lastModifiedBy>
  <cp:revision>4</cp:revision>
  <dcterms:created xsi:type="dcterms:W3CDTF">2021-09-21T10:40:00Z</dcterms:created>
  <dcterms:modified xsi:type="dcterms:W3CDTF">2021-09-21T10:48:00Z</dcterms:modified>
</cp:coreProperties>
</file>